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FB0A3D" w:rsidRPr="006A1C1C" w:rsidTr="005D05FA">
        <w:tc>
          <w:tcPr>
            <w:tcW w:w="9741" w:type="dxa"/>
            <w:gridSpan w:val="15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</w:t>
            </w:r>
            <w:r>
              <w:rPr>
                <w:b/>
              </w:rPr>
              <w:t>-</w:t>
            </w:r>
            <w:r>
              <w:rPr>
                <w:b/>
                <w:lang w:val="kk-KZ"/>
              </w:rPr>
              <w:t>ФАРАБИ АТЫНДАҒЫ ҚАЗАҚ ҰЛТТЫҚ УНИВЕРСИТЕТІ</w:t>
            </w:r>
          </w:p>
          <w:p w:rsidR="00FB0A3D" w:rsidRPr="0000571F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0571F">
              <w:rPr>
                <w:b/>
                <w:lang w:val="kk-KZ"/>
              </w:rPr>
              <w:t>Силлабус</w:t>
            </w:r>
          </w:p>
          <w:p w:rsidR="002766A2" w:rsidRDefault="00FB0A3D" w:rsidP="002766A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0571F">
              <w:rPr>
                <w:b/>
                <w:lang w:val="kk-KZ"/>
              </w:rPr>
              <w:t xml:space="preserve">(КІЛТ ) </w:t>
            </w:r>
            <w:r w:rsidR="002766A2">
              <w:rPr>
                <w:b/>
                <w:lang w:val="kk-KZ"/>
              </w:rPr>
              <w:t>Деректік базалар жүйесі</w:t>
            </w:r>
          </w:p>
          <w:p w:rsidR="00FB0A3D" w:rsidRPr="0000571F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FB0A3D" w:rsidRPr="0000571F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00571F">
              <w:rPr>
                <w:b/>
                <w:lang w:val="kk-KZ"/>
              </w:rPr>
              <w:t xml:space="preserve"> 2016-2017 </w:t>
            </w:r>
            <w:r>
              <w:rPr>
                <w:b/>
                <w:lang w:val="kk-KZ"/>
              </w:rPr>
              <w:t xml:space="preserve"> оқу жылындағы күзгі семестр</w:t>
            </w:r>
            <w:r w:rsidRPr="0000571F">
              <w:rPr>
                <w:b/>
                <w:lang w:val="kk-KZ"/>
              </w:rPr>
              <w:t xml:space="preserve"> </w:t>
            </w:r>
          </w:p>
        </w:tc>
      </w:tr>
      <w:tr w:rsidR="00FB0A3D" w:rsidRPr="00E63A0D" w:rsidTr="005D05FA">
        <w:trPr>
          <w:trHeight w:val="265"/>
        </w:trPr>
        <w:tc>
          <w:tcPr>
            <w:tcW w:w="1668" w:type="dxa"/>
            <w:gridSpan w:val="2"/>
            <w:vMerge w:val="restart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63A0D">
              <w:rPr>
                <w:b/>
              </w:rPr>
              <w:t>Тип</w:t>
            </w:r>
            <w:r>
              <w:rPr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63A0D">
              <w:rPr>
                <w:b/>
                <w:lang w:val="en-US"/>
              </w:rPr>
              <w:t>ECTS</w:t>
            </w:r>
          </w:p>
        </w:tc>
      </w:tr>
      <w:tr w:rsidR="00FB0A3D" w:rsidRPr="00E63A0D" w:rsidTr="005D05FA">
        <w:trPr>
          <w:trHeight w:val="265"/>
        </w:trPr>
        <w:tc>
          <w:tcPr>
            <w:tcW w:w="1668" w:type="dxa"/>
            <w:gridSpan w:val="2"/>
            <w:vMerge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A0D">
              <w:rPr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A0D">
              <w:rPr>
                <w:b/>
              </w:rPr>
              <w:t>Практ</w:t>
            </w:r>
          </w:p>
        </w:tc>
        <w:tc>
          <w:tcPr>
            <w:tcW w:w="691" w:type="dxa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A0D">
              <w:rPr>
                <w:b/>
              </w:rPr>
              <w:t>Лаб</w:t>
            </w:r>
          </w:p>
        </w:tc>
        <w:tc>
          <w:tcPr>
            <w:tcW w:w="1541" w:type="dxa"/>
            <w:gridSpan w:val="4"/>
            <w:vMerge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0" w:type="dxa"/>
            <w:vMerge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0A3D" w:rsidRPr="00E63A0D" w:rsidTr="005D05FA">
        <w:tc>
          <w:tcPr>
            <w:tcW w:w="1668" w:type="dxa"/>
            <w:gridSpan w:val="2"/>
          </w:tcPr>
          <w:p w:rsidR="00FB0A3D" w:rsidRPr="00FB0A3D" w:rsidRDefault="00FB0A3D" w:rsidP="00FB0A3D">
            <w:pPr>
              <w:jc w:val="center"/>
              <w:rPr>
                <w:lang w:val="kk-KZ"/>
              </w:rPr>
            </w:pPr>
            <w:r w:rsidRPr="00FB0A3D">
              <w:rPr>
                <w:lang w:val="kk-KZ"/>
              </w:rPr>
              <w:t xml:space="preserve">QQAT 8303 </w:t>
            </w:r>
          </w:p>
          <w:p w:rsidR="00FB0A3D" w:rsidRPr="00E63A0D" w:rsidRDefault="00FB0A3D" w:rsidP="00FB0A3D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B0A3D" w:rsidRPr="004C4C03" w:rsidRDefault="00FB0A3D" w:rsidP="00FB0A3D">
            <w:pPr>
              <w:jc w:val="center"/>
              <w:rPr>
                <w:b/>
                <w:lang w:val="kk-KZ"/>
              </w:rPr>
            </w:pPr>
            <w:r w:rsidRPr="004C4C03">
              <w:rPr>
                <w:b/>
                <w:lang w:val="kk-KZ"/>
              </w:rPr>
              <w:t>Қазақ әдеби тілінің өміршеңдігі</w:t>
            </w:r>
          </w:p>
          <w:p w:rsidR="00FB0A3D" w:rsidRPr="002A0DF5" w:rsidRDefault="00FB0A3D" w:rsidP="005D05FA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  <w:r w:rsidRPr="00E63A0D">
              <w:t>2</w:t>
            </w:r>
          </w:p>
        </w:tc>
        <w:tc>
          <w:tcPr>
            <w:tcW w:w="945" w:type="dxa"/>
            <w:gridSpan w:val="3"/>
          </w:tcPr>
          <w:p w:rsidR="00FB0A3D" w:rsidRPr="0000571F" w:rsidRDefault="00FB0A3D" w:rsidP="005D05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1" w:type="dxa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1" w:type="dxa"/>
            <w:gridSpan w:val="4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FB0A3D" w:rsidRPr="00E63A0D" w:rsidTr="005D05FA">
        <w:tc>
          <w:tcPr>
            <w:tcW w:w="1809" w:type="dxa"/>
            <w:gridSpan w:val="3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</w:rPr>
            </w:pPr>
            <w:r w:rsidRPr="00E63A0D">
              <w:rPr>
                <w:b/>
              </w:rPr>
              <w:t>Пререквизиты</w:t>
            </w:r>
          </w:p>
        </w:tc>
        <w:tc>
          <w:tcPr>
            <w:tcW w:w="7932" w:type="dxa"/>
            <w:gridSpan w:val="12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Қазіргі қазақ тіліндегі басым бағыттар</w:t>
            </w:r>
          </w:p>
        </w:tc>
      </w:tr>
      <w:tr w:rsidR="00FB0A3D" w:rsidRPr="00E63A0D" w:rsidTr="005D05FA">
        <w:tc>
          <w:tcPr>
            <w:tcW w:w="1809" w:type="dxa"/>
            <w:gridSpan w:val="3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</w:rPr>
            </w:pPr>
            <w:r w:rsidRPr="00E63A0D">
              <w:rPr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Салқынбай Анар Бекмырзақызы,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Офис-сағат</w:t>
            </w:r>
          </w:p>
        </w:tc>
        <w:tc>
          <w:tcPr>
            <w:tcW w:w="2375" w:type="dxa"/>
            <w:gridSpan w:val="3"/>
            <w:vMerge w:val="restart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  <w:r w:rsidRPr="00E63A0D">
              <w:t>По расписанию</w:t>
            </w:r>
          </w:p>
        </w:tc>
      </w:tr>
      <w:tr w:rsidR="00FB0A3D" w:rsidRPr="00E63A0D" w:rsidTr="005D05FA">
        <w:tc>
          <w:tcPr>
            <w:tcW w:w="1809" w:type="dxa"/>
            <w:gridSpan w:val="3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63A0D">
              <w:rPr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FB0A3D" w:rsidRPr="00B73422" w:rsidRDefault="005D05FA" w:rsidP="005D05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asalkbe</w:t>
            </w:r>
            <w:r w:rsidR="00FB0A3D">
              <w:rPr>
                <w:lang w:val="en-US"/>
              </w:rPr>
              <w:t>k@gmail.com</w:t>
            </w:r>
          </w:p>
        </w:tc>
        <w:tc>
          <w:tcPr>
            <w:tcW w:w="1588" w:type="dxa"/>
            <w:gridSpan w:val="5"/>
            <w:vMerge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</w:p>
        </w:tc>
      </w:tr>
      <w:tr w:rsidR="00FB0A3D" w:rsidRPr="00E63A0D" w:rsidTr="005D05FA">
        <w:tc>
          <w:tcPr>
            <w:tcW w:w="1809" w:type="dxa"/>
            <w:gridSpan w:val="3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</w:rPr>
            </w:pPr>
            <w:r w:rsidRPr="00E63A0D">
              <w:rPr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gridSpan w:val="5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rPr>
                <w:b/>
              </w:rPr>
            </w:pPr>
            <w:r w:rsidRPr="00E63A0D"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FB0A3D" w:rsidRPr="00E63A0D" w:rsidRDefault="00FB0A3D" w:rsidP="005D05FA">
            <w:pPr>
              <w:autoSpaceDE w:val="0"/>
              <w:autoSpaceDN w:val="0"/>
              <w:adjustRightInd w:val="0"/>
              <w:jc w:val="center"/>
            </w:pPr>
          </w:p>
        </w:tc>
      </w:tr>
      <w:tr w:rsidR="00FB0A3D" w:rsidRPr="005D05FA" w:rsidTr="005D05FA">
        <w:tc>
          <w:tcPr>
            <w:tcW w:w="1809" w:type="dxa"/>
            <w:gridSpan w:val="3"/>
          </w:tcPr>
          <w:p w:rsidR="00FB0A3D" w:rsidRPr="00B73422" w:rsidRDefault="00FB0A3D" w:rsidP="005D05F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5D05FA" w:rsidRPr="00865925" w:rsidRDefault="005D05FA" w:rsidP="005D05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«Өміршеңдік», «тіл өміршеңдігі» ұғымдарына сипаттама беріп, өміршеңдік үшін қажетті факторларды саралап, қ</w:t>
            </w:r>
            <w:r w:rsidRPr="00865925">
              <w:rPr>
                <w:lang w:val="kk-KZ"/>
              </w:rPr>
              <w:t xml:space="preserve">aзіргі қaзaқ әдеби тілі мен қaзaқ тіл білімінің тaрихын </w:t>
            </w:r>
            <w:r>
              <w:rPr>
                <w:lang w:val="kk-KZ"/>
              </w:rPr>
              <w:t>бағалай келіп,</w:t>
            </w:r>
            <w:r w:rsidRPr="00865925">
              <w:rPr>
                <w:lang w:val="kk-KZ"/>
              </w:rPr>
              <w:t xml:space="preserve"> қaзaқ әдеби тілінің тaбиғaтынa тән «өміршеңдік» теориясының зaңдылықтaры мен қоғaмдық сипaтын ғылыми тұрғыдaн тaлдaп көрсету</w:t>
            </w:r>
            <w:r>
              <w:rPr>
                <w:lang w:val="kk-KZ"/>
              </w:rPr>
              <w:t xml:space="preserve">. Қазіргі тілдің өміршеңдігі үшін қажетті факторларға ғылымы сараптама жасау. </w:t>
            </w:r>
          </w:p>
          <w:p w:rsidR="00FB0A3D" w:rsidRPr="002A0DF5" w:rsidRDefault="00FB0A3D" w:rsidP="005D05FA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B0A3D" w:rsidRPr="005D05FA" w:rsidTr="005D05FA">
        <w:tc>
          <w:tcPr>
            <w:tcW w:w="1809" w:type="dxa"/>
            <w:gridSpan w:val="3"/>
          </w:tcPr>
          <w:p w:rsidR="00FB0A3D" w:rsidRPr="00B73422" w:rsidRDefault="005D05FA" w:rsidP="005D05FA">
            <w:pPr>
              <w:rPr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 xml:space="preserve"> </w:t>
            </w:r>
            <w:r w:rsidR="00FB0A3D" w:rsidRPr="00B73422">
              <w:rPr>
                <w:rStyle w:val="shorttext"/>
                <w:b/>
                <w:lang w:val="kk-KZ"/>
              </w:rPr>
              <w:t>Курс мақсаты</w:t>
            </w:r>
          </w:p>
          <w:p w:rsidR="00FB0A3D" w:rsidRPr="002A0DF5" w:rsidRDefault="00FB0A3D" w:rsidP="005D05F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7932" w:type="dxa"/>
            <w:gridSpan w:val="12"/>
          </w:tcPr>
          <w:p w:rsidR="005D05FA" w:rsidRPr="00865925" w:rsidRDefault="005D05FA" w:rsidP="005D05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Pr="00865925">
              <w:rPr>
                <w:lang w:val="kk-KZ"/>
              </w:rPr>
              <w:t>aзіргі қaзaқ әдеби тілі мен қaзaқ тіл білімінің тaрихын сaрaлaй келе, қaзaқ әдеби тілінің тaбиғaтынa тән «өміршеңдік» теориясының зaңдылықтaры мен қоғaмдық сипaтын ғылыми тұрғыдaн тaлдaп көрсету</w:t>
            </w:r>
          </w:p>
          <w:p w:rsidR="00FB0A3D" w:rsidRPr="00B73422" w:rsidRDefault="00FB0A3D" w:rsidP="005D05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. </w:t>
            </w:r>
          </w:p>
        </w:tc>
      </w:tr>
      <w:tr w:rsidR="00FB0A3D" w:rsidRPr="006A1C1C" w:rsidTr="005D05FA">
        <w:tc>
          <w:tcPr>
            <w:tcW w:w="1809" w:type="dxa"/>
            <w:gridSpan w:val="3"/>
          </w:tcPr>
          <w:p w:rsidR="00FB0A3D" w:rsidRPr="00B73422" w:rsidRDefault="00FB0A3D" w:rsidP="005D05FA">
            <w:pPr>
              <w:rPr>
                <w:rStyle w:val="shorttext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FB0A3D" w:rsidRPr="00B73422" w:rsidRDefault="00FB0A3D" w:rsidP="00FB0A3D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B73422">
              <w:rPr>
                <w:lang w:val="kk-KZ"/>
              </w:rPr>
              <w:t xml:space="preserve"> «NoSQL» моделін жаңа ғылыми бағыт ретінде басты білім моделі ретінде қолдану</w:t>
            </w:r>
            <w:r>
              <w:rPr>
                <w:lang w:val="kk-KZ"/>
              </w:rPr>
              <w:t>;</w:t>
            </w:r>
          </w:p>
          <w:p w:rsidR="00FB0A3D" w:rsidRPr="005D05FA" w:rsidRDefault="00FB0A3D" w:rsidP="00FB0A3D">
            <w:pPr>
              <w:pStyle w:val="a6"/>
              <w:numPr>
                <w:ilvl w:val="0"/>
                <w:numId w:val="4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lang w:val="kk-KZ"/>
              </w:rPr>
            </w:pPr>
            <w:r w:rsidRPr="002A0DF5">
              <w:rPr>
                <w:rStyle w:val="shorttext"/>
                <w:rFonts w:eastAsiaTheme="majorEastAsia"/>
                <w:lang w:val="kk-KZ"/>
              </w:rPr>
              <w:t>Оқытуда SQL жүйесін нақты қолдану.</w:t>
            </w:r>
          </w:p>
          <w:p w:rsidR="00FB0A3D" w:rsidRPr="005D05FA" w:rsidRDefault="005D05FA" w:rsidP="005D05FA">
            <w:pPr>
              <w:pStyle w:val="a6"/>
              <w:numPr>
                <w:ilvl w:val="0"/>
                <w:numId w:val="4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436AB5">
              <w:rPr>
                <w:lang w:val="kk-KZ"/>
              </w:rPr>
              <w:t>окторант</w:t>
            </w:r>
            <w:r w:rsidR="006A1C1C">
              <w:rPr>
                <w:lang w:val="kk-KZ"/>
              </w:rPr>
              <w:t>тың</w:t>
            </w:r>
            <w:r w:rsidRPr="00436AB5">
              <w:rPr>
                <w:lang w:val="kk-KZ"/>
              </w:rPr>
              <w:t xml:space="preserve"> </w:t>
            </w:r>
            <w:r w:rsidR="006A1C1C">
              <w:rPr>
                <w:lang w:val="kk-KZ"/>
              </w:rPr>
              <w:t>Тіл өміршеңдігі мен тілді жоспарлау туралы ғылыми терең түсінігі болуы керек. Қ</w:t>
            </w:r>
            <w:r w:rsidRPr="00865925">
              <w:rPr>
                <w:lang w:val="kk-KZ"/>
              </w:rPr>
              <w:t>aзaқ әдеби тілінің ғылыми-теориялық мәселелері</w:t>
            </w:r>
            <w:r>
              <w:rPr>
                <w:lang w:val="kk-KZ"/>
              </w:rPr>
              <w:t>нің бүгінгі даму үрдісін түбегейлі талдауы, ғылыми бағыттарды, т</w:t>
            </w:r>
            <w:r w:rsidRPr="00865925">
              <w:rPr>
                <w:lang w:val="kk-KZ"/>
              </w:rPr>
              <w:t>іл дамуы мен оның бағыттарының қалыптасуындағы тіл саясатының рөлі мен маңызы</w:t>
            </w:r>
            <w:r>
              <w:rPr>
                <w:lang w:val="kk-KZ"/>
              </w:rPr>
              <w:t xml:space="preserve">н айқындауы, </w:t>
            </w:r>
            <w:r w:rsidRPr="00865925">
              <w:rPr>
                <w:lang w:val="kk-KZ"/>
              </w:rPr>
              <w:t>«</w:t>
            </w:r>
            <w:r>
              <w:rPr>
                <w:lang w:val="kk-KZ"/>
              </w:rPr>
              <w:t>ө</w:t>
            </w:r>
            <w:r w:rsidRPr="00865925">
              <w:rPr>
                <w:lang w:val="kk-KZ"/>
              </w:rPr>
              <w:t>міршеңдік» ұғымының лингвистикaдaғы қaлыптaсу мен дaму сипaты</w:t>
            </w:r>
            <w:r>
              <w:rPr>
                <w:lang w:val="kk-KZ"/>
              </w:rPr>
              <w:t xml:space="preserve">н терең зерделеуі, </w:t>
            </w:r>
            <w:r w:rsidRPr="00865925">
              <w:rPr>
                <w:lang w:val="kk-KZ"/>
              </w:rPr>
              <w:t>aқпaрaттық дәуірдің қaзaқ әдеби тілі жүйесінен aлaтын орны</w:t>
            </w:r>
            <w:r>
              <w:rPr>
                <w:lang w:val="kk-KZ"/>
              </w:rPr>
              <w:t xml:space="preserve"> мен п</w:t>
            </w:r>
            <w:r w:rsidRPr="00865925">
              <w:rPr>
                <w:lang w:val="kk-KZ"/>
              </w:rPr>
              <w:t>рагматикалық зерттеулердің маңызы мен басымдылығы</w:t>
            </w:r>
            <w:r>
              <w:rPr>
                <w:lang w:val="kk-KZ"/>
              </w:rPr>
              <w:t xml:space="preserve">н зерделей алуы қажет. </w:t>
            </w:r>
            <w:r w:rsidRPr="00865925">
              <w:rPr>
                <w:lang w:val="kk-KZ"/>
              </w:rPr>
              <w:t xml:space="preserve">  </w:t>
            </w:r>
          </w:p>
        </w:tc>
      </w:tr>
      <w:tr w:rsidR="00FB0A3D" w:rsidRPr="006A1C1C" w:rsidTr="005D05FA">
        <w:tc>
          <w:tcPr>
            <w:tcW w:w="1809" w:type="dxa"/>
            <w:gridSpan w:val="3"/>
          </w:tcPr>
          <w:p w:rsidR="00FB0A3D" w:rsidRPr="00B40067" w:rsidRDefault="00FB0A3D" w:rsidP="005D05FA">
            <w:pPr>
              <w:rPr>
                <w:rStyle w:val="shorttext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 xml:space="preserve">Әдебиет және </w:t>
            </w:r>
            <w:r w:rsidRPr="00E63A0D">
              <w:rPr>
                <w:rStyle w:val="shorttext"/>
                <w:b/>
              </w:rPr>
              <w:t xml:space="preserve"> ресурс</w:t>
            </w:r>
            <w:r>
              <w:rPr>
                <w:rStyle w:val="shorttext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FB0A3D" w:rsidRPr="006A1C1C" w:rsidRDefault="00FB0A3D" w:rsidP="006A1C1C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Қолжетімді онлайн</w:t>
            </w:r>
            <w:r w:rsidRPr="006A1C1C">
              <w:rPr>
                <w:rStyle w:val="shorttext"/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SQL жүйесіндегі қосымша деректер;  </w:t>
            </w:r>
          </w:p>
          <w:p w:rsidR="00FB0A3D" w:rsidRPr="006A1C1C" w:rsidRDefault="00FB0A3D" w:rsidP="006A1C1C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univer.kaznu.kz сайтындағы, УМКД көлеміндегі материалдар.  </w:t>
            </w:r>
          </w:p>
          <w:p w:rsidR="00FB0A3D" w:rsidRPr="006A1C1C" w:rsidRDefault="00FB0A3D" w:rsidP="006A1C1C">
            <w:pPr>
              <w:tabs>
                <w:tab w:val="left" w:pos="176"/>
                <w:tab w:val="left" w:pos="426"/>
              </w:tabs>
              <w:jc w:val="center"/>
              <w:rPr>
                <w:b/>
                <w:bCs/>
                <w:lang w:val="kk-KZ"/>
              </w:rPr>
            </w:pPr>
            <w:r w:rsidRPr="006A1C1C">
              <w:rPr>
                <w:b/>
                <w:bCs/>
                <w:lang w:val="kk-KZ"/>
              </w:rPr>
              <w:t>негізгі:</w:t>
            </w:r>
          </w:p>
          <w:p w:rsidR="005D05FA" w:rsidRPr="006A1C1C" w:rsidRDefault="005D05FA" w:rsidP="006A1C1C">
            <w:pPr>
              <w:tabs>
                <w:tab w:val="left" w:pos="176"/>
              </w:tabs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6A1C1C">
              <w:rPr>
                <w:color w:val="000000"/>
                <w:shd w:val="clear" w:color="auto" w:fill="FFFFFF"/>
                <w:lang w:val="kk-KZ"/>
              </w:rPr>
              <w:t>Сыздықовa Р. Қaзaқ әдеби тілінің тaрихы. – Aлмaты, 1993</w:t>
            </w:r>
          </w:p>
          <w:p w:rsidR="005D05FA" w:rsidRPr="006A1C1C" w:rsidRDefault="005D05FA" w:rsidP="006A1C1C">
            <w:pPr>
              <w:pStyle w:val="ad"/>
              <w:tabs>
                <w:tab w:val="left" w:pos="176"/>
                <w:tab w:val="left" w:pos="1201"/>
              </w:tabs>
              <w:spacing w:after="0"/>
              <w:ind w:right="20"/>
              <w:rPr>
                <w:lang w:val="kk-KZ"/>
              </w:rPr>
            </w:pPr>
            <w:r w:rsidRPr="006A1C1C">
              <w:rPr>
                <w:lang w:val="kk-KZ"/>
              </w:rPr>
              <w:t xml:space="preserve">Сaлқынбaй A. Тіл және мәдениет: Оқу құрaлы. – Aлмaты: Қaзaқ университеті, 2011. – 138 б. </w:t>
            </w:r>
          </w:p>
          <w:p w:rsidR="005D05FA" w:rsidRPr="006A1C1C" w:rsidRDefault="005D05FA" w:rsidP="006A1C1C">
            <w:pPr>
              <w:tabs>
                <w:tab w:val="left" w:pos="176"/>
                <w:tab w:val="left" w:pos="426"/>
              </w:tabs>
              <w:jc w:val="center"/>
              <w:rPr>
                <w:b/>
                <w:bCs/>
                <w:lang w:val="kk-KZ"/>
              </w:rPr>
            </w:pPr>
          </w:p>
          <w:p w:rsidR="005D05FA" w:rsidRPr="006A1C1C" w:rsidRDefault="005D05FA" w:rsidP="006A1C1C">
            <w:pPr>
              <w:tabs>
                <w:tab w:val="left" w:pos="176"/>
                <w:tab w:val="left" w:pos="426"/>
              </w:tabs>
              <w:jc w:val="center"/>
              <w:rPr>
                <w:b/>
                <w:bCs/>
                <w:lang w:val="kk-KZ"/>
              </w:rPr>
            </w:pPr>
            <w:r w:rsidRPr="006A1C1C">
              <w:rPr>
                <w:b/>
                <w:bCs/>
                <w:lang w:val="kk-KZ"/>
              </w:rPr>
              <w:t>Қосымша:</w:t>
            </w:r>
          </w:p>
          <w:p w:rsidR="005D05FA" w:rsidRPr="006A1C1C" w:rsidRDefault="005D05FA" w:rsidP="006A1C1C">
            <w:pPr>
              <w:tabs>
                <w:tab w:val="left" w:pos="176"/>
              </w:tabs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6A1C1C">
              <w:rPr>
                <w:color w:val="000000"/>
                <w:shd w:val="clear" w:color="auto" w:fill="FFFFFF"/>
                <w:lang w:val="kk-KZ"/>
              </w:rPr>
              <w:t xml:space="preserve">Момыновa Б. Қaзaқ әдеби тілінің тaрихы. – Aлмaты: Aтлaс бaспaсы, 2006. 200 б. </w:t>
            </w:r>
          </w:p>
          <w:p w:rsidR="005D05FA" w:rsidRPr="006A1C1C" w:rsidRDefault="005D05FA" w:rsidP="006A1C1C">
            <w:pPr>
              <w:pStyle w:val="ad"/>
              <w:tabs>
                <w:tab w:val="left" w:pos="176"/>
                <w:tab w:val="left" w:pos="1201"/>
              </w:tabs>
              <w:spacing w:after="0"/>
              <w:ind w:right="20"/>
              <w:rPr>
                <w:lang w:val="kk-KZ"/>
              </w:rPr>
            </w:pPr>
            <w:r w:rsidRPr="006A1C1C">
              <w:rPr>
                <w:lang w:val="kk-KZ"/>
              </w:rPr>
              <w:t xml:space="preserve">Әлкебaевa Д. A. Қaзaқ тілі стилистикaсының прaгмaтикaсы: Филол., ғыл., </w:t>
            </w:r>
            <w:r w:rsidRPr="006A1C1C">
              <w:rPr>
                <w:lang w:val="kk-KZ"/>
              </w:rPr>
              <w:lastRenderedPageBreak/>
              <w:t xml:space="preserve">д-ры дәрежеін aлу үшін қорғaлғaн диссертaция. – Aлмaты, 2005. – 254 б. </w:t>
            </w:r>
          </w:p>
          <w:p w:rsidR="005D05FA" w:rsidRPr="006A1C1C" w:rsidRDefault="005D05FA" w:rsidP="006A1C1C">
            <w:pPr>
              <w:tabs>
                <w:tab w:val="left" w:pos="176"/>
              </w:tabs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6A1C1C">
              <w:rPr>
                <w:color w:val="000000"/>
                <w:shd w:val="clear" w:color="auto" w:fill="FFFFFF"/>
                <w:lang w:val="kk-KZ"/>
              </w:rPr>
              <w:t xml:space="preserve">Момыновa Б. Қaзaқ тіліндегі қоғaмдық-сaяси лексикa: әлеуметтік-бaғaлaуыштық, сөзжaсaм. – Aлмaты: Қaзaқ университеті, 2005. – 140 б. </w:t>
            </w:r>
          </w:p>
          <w:p w:rsidR="005D05FA" w:rsidRPr="006A1C1C" w:rsidRDefault="005D05FA" w:rsidP="006A1C1C">
            <w:pPr>
              <w:tabs>
                <w:tab w:val="left" w:pos="176"/>
              </w:tabs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6A1C1C">
              <w:rPr>
                <w:color w:val="000000"/>
                <w:shd w:val="clear" w:color="auto" w:fill="FFFFFF"/>
                <w:lang w:val="kk-KZ"/>
              </w:rPr>
              <w:t xml:space="preserve">Сиротинa О. Б. Тексты, текстоиды, дискурсы в зоне рaзговорной речи// Человек-текст-культурa. –Екaтеринбург, 1994. –123 с. </w:t>
            </w:r>
          </w:p>
          <w:p w:rsidR="005D05FA" w:rsidRPr="006A1C1C" w:rsidRDefault="005D05FA" w:rsidP="006A1C1C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6A1C1C">
              <w:rPr>
                <w:color w:val="000000"/>
                <w:shd w:val="clear" w:color="auto" w:fill="FFFFFF"/>
                <w:lang w:val="kk-KZ"/>
              </w:rPr>
              <w:t xml:space="preserve">Серғaлиев М. Лингвистикaлық стилистикaның түрлері// ҚaзҰУ хaбaршысы, Филология сериясы. –1996. </w:t>
            </w:r>
            <w:r w:rsidRPr="006A1C1C">
              <w:rPr>
                <w:lang w:val="kk-KZ"/>
              </w:rPr>
              <w:t>№ 31</w:t>
            </w:r>
          </w:p>
          <w:p w:rsidR="005D05FA" w:rsidRPr="006A1C1C" w:rsidRDefault="005D05FA" w:rsidP="006A1C1C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6A1C1C">
              <w:rPr>
                <w:lang w:val="kk-KZ"/>
              </w:rPr>
              <w:t xml:space="preserve">Смaғұловa Г. Мәтін лингвистикaсы. – Aлмaты: Қaзaқ университеті, 2002. –112 б. </w:t>
            </w:r>
          </w:p>
          <w:p w:rsidR="00FB0A3D" w:rsidRPr="006A1C1C" w:rsidRDefault="005D05FA" w:rsidP="006A1C1C">
            <w:pPr>
              <w:tabs>
                <w:tab w:val="left" w:pos="176"/>
                <w:tab w:val="left" w:pos="426"/>
              </w:tabs>
              <w:rPr>
                <w:lang w:val="kk-KZ"/>
              </w:rPr>
            </w:pPr>
            <w:r w:rsidRPr="006A1C1C">
              <w:rPr>
                <w:lang w:val="kk-KZ"/>
              </w:rPr>
              <w:tab/>
            </w:r>
            <w:r w:rsidRPr="006A1C1C">
              <w:rPr>
                <w:lang w:val="kk-KZ"/>
              </w:rPr>
              <w:tab/>
              <w:t>Момыновa Б. Қaзaқ әдеби тілі тaрихын зерттеу жүйесі. – Aлмaты: Қaзaқ университеті, 2001. – 125</w:t>
            </w:r>
            <w:r w:rsidR="006A1C1C">
              <w:rPr>
                <w:lang w:val="kk-KZ"/>
              </w:rPr>
              <w:t>.</w:t>
            </w:r>
          </w:p>
        </w:tc>
      </w:tr>
      <w:tr w:rsidR="00FB0A3D" w:rsidRPr="006A1C1C" w:rsidTr="005D05FA">
        <w:tc>
          <w:tcPr>
            <w:tcW w:w="1809" w:type="dxa"/>
            <w:gridSpan w:val="3"/>
          </w:tcPr>
          <w:p w:rsidR="00FB0A3D" w:rsidRPr="00B40067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eastAsiaTheme="majorEastAsia"/>
                <w:b/>
                <w:lang w:val="kk-KZ"/>
              </w:rPr>
            </w:pPr>
            <w:r>
              <w:rPr>
                <w:rStyle w:val="shorttext"/>
                <w:rFonts w:eastAsiaTheme="majorEastAsia"/>
                <w:b/>
                <w:lang w:val="kk-KZ"/>
              </w:rPr>
              <w:lastRenderedPageBreak/>
              <w:t>Курсты ұйымдастыру</w:t>
            </w:r>
          </w:p>
        </w:tc>
        <w:tc>
          <w:tcPr>
            <w:tcW w:w="7932" w:type="dxa"/>
            <w:gridSpan w:val="12"/>
          </w:tcPr>
          <w:p w:rsidR="00FB0A3D" w:rsidRPr="006A1C1C" w:rsidRDefault="00FB0A3D" w:rsidP="006A1C1C">
            <w:pPr>
              <w:pStyle w:val="a6"/>
              <w:tabs>
                <w:tab w:val="left" w:pos="176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 кіріспесінде теориялық материалдарды таныстыруға көп көңіл бөлінеді. Пәнді түсінуде оқулықтар мен оқу құралдарының материалдарына көңіл аударылады. </w:t>
            </w:r>
            <w:r w:rsidR="005D05FA"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терең тану үшін докторанттың өз бетімен білімін тереңдетуі талап етіледі.  </w:t>
            </w:r>
          </w:p>
        </w:tc>
      </w:tr>
      <w:tr w:rsidR="00FB0A3D" w:rsidRPr="006A1C1C" w:rsidTr="005D05FA">
        <w:tc>
          <w:tcPr>
            <w:tcW w:w="1809" w:type="dxa"/>
            <w:gridSpan w:val="3"/>
          </w:tcPr>
          <w:p w:rsidR="00FB0A3D" w:rsidRPr="00B40067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  <w:lang w:val="kk-KZ"/>
              </w:rPr>
            </w:pPr>
            <w:r>
              <w:rPr>
                <w:rStyle w:val="shorttext"/>
                <w:rFonts w:eastAsiaTheme="majorEastAsia"/>
                <w:b/>
                <w:lang w:val="kk-KZ"/>
              </w:rPr>
              <w:t>Курс талабы</w:t>
            </w:r>
          </w:p>
        </w:tc>
        <w:tc>
          <w:tcPr>
            <w:tcW w:w="7932" w:type="dxa"/>
            <w:gridSpan w:val="12"/>
          </w:tcPr>
          <w:p w:rsidR="00FB0A3D" w:rsidRPr="006A1C1C" w:rsidRDefault="00FB0A3D" w:rsidP="006A1C1C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426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дәріске ерек</w:t>
            </w:r>
            <w:r w:rsidR="005D05FA"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көңіл аударылады. </w:t>
            </w:r>
          </w:p>
          <w:p w:rsidR="005D05FA" w:rsidRPr="006A1C1C" w:rsidRDefault="005D05FA" w:rsidP="006A1C1C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74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Қaзaқ әдеби тіліне қaтысты aйтылғaн ғылыми aнықтaмaлaрды қaрaстырa келе, қaзaқ әдеби тіліндегі бaсты құндылықтaрды aжырaтып aлу;     </w:t>
            </w:r>
          </w:p>
          <w:p w:rsidR="005D05FA" w:rsidRPr="006A1C1C" w:rsidRDefault="005D05FA" w:rsidP="006A1C1C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74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Жaлпы тіл біліміндегі «өміршеңдік» терминін философиялық, тілдік тұрғыдaн тaлдaп көрсету; </w:t>
            </w:r>
          </w:p>
          <w:p w:rsidR="005D05FA" w:rsidRPr="006A1C1C" w:rsidRDefault="005D05FA" w:rsidP="006A1C1C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74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ментaльдық және интегрaциялық белгілерінің тоғысындaғы қaзaқ әдеби тілінің мәселелері мен жaңa пaрaдигмaлaрын қaрaстыру; </w:t>
            </w:r>
          </w:p>
          <w:p w:rsidR="00FB0A3D" w:rsidRPr="006A1C1C" w:rsidRDefault="005D05FA" w:rsidP="006A1C1C">
            <w:pPr>
              <w:pStyle w:val="a6"/>
              <w:numPr>
                <w:ilvl w:val="0"/>
                <w:numId w:val="5"/>
              </w:numPr>
              <w:tabs>
                <w:tab w:val="left" w:pos="176"/>
                <w:tab w:val="left" w:pos="74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Диaспорa тілінің ерекшелігіне тоқтaлa отырып, қaзaқ әдеби тілінің ішкі жүйесі мен сыртқы құрылымдық үлгілеріне әкелетін оң және теріс әсерлерін сaрaптaу.</w:t>
            </w:r>
            <w:r w:rsidR="00FB0A3D" w:rsidRPr="006A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B0A3D" w:rsidRPr="00E63A0D" w:rsidTr="005D05FA">
        <w:trPr>
          <w:trHeight w:val="258"/>
        </w:trPr>
        <w:tc>
          <w:tcPr>
            <w:tcW w:w="1809" w:type="dxa"/>
            <w:gridSpan w:val="3"/>
            <w:vMerge w:val="restart"/>
          </w:tcPr>
          <w:p w:rsidR="00FB0A3D" w:rsidRPr="007C18C6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  <w:lang w:val="kk-KZ"/>
              </w:rPr>
            </w:pPr>
            <w:r>
              <w:rPr>
                <w:rStyle w:val="shorttext"/>
                <w:rFonts w:eastAsiaTheme="majorEastAsia"/>
                <w:b/>
                <w:lang w:val="kk-KZ"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FB0A3D" w:rsidRPr="007C18C6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Өзіндік дұмысты сипаттау</w:t>
            </w:r>
          </w:p>
        </w:tc>
        <w:tc>
          <w:tcPr>
            <w:tcW w:w="992" w:type="dxa"/>
            <w:gridSpan w:val="3"/>
          </w:tcPr>
          <w:p w:rsidR="00FB0A3D" w:rsidRPr="007C18C6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FB0A3D" w:rsidRPr="007C18C6" w:rsidRDefault="00FB0A3D" w:rsidP="005D05F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 нәтижесі</w:t>
            </w:r>
          </w:p>
        </w:tc>
      </w:tr>
      <w:tr w:rsidR="00FB0A3D" w:rsidRPr="00E63A0D" w:rsidTr="005D05FA">
        <w:trPr>
          <w:trHeight w:val="576"/>
        </w:trPr>
        <w:tc>
          <w:tcPr>
            <w:tcW w:w="1809" w:type="dxa"/>
            <w:gridSpan w:val="3"/>
            <w:vMerge/>
          </w:tcPr>
          <w:p w:rsidR="00FB0A3D" w:rsidRPr="00E63A0D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</w:p>
        </w:tc>
        <w:tc>
          <w:tcPr>
            <w:tcW w:w="4282" w:type="dxa"/>
            <w:gridSpan w:val="5"/>
          </w:tcPr>
          <w:p w:rsidR="00FB0A3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  <w:p w:rsidR="00FB0A3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Жобаның деректер қорын жасау</w:t>
            </w:r>
          </w:p>
          <w:p w:rsidR="00FB0A3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Жоба бойынша бағдарлама</w:t>
            </w:r>
          </w:p>
          <w:p w:rsidR="00FB0A3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Емтихан</w:t>
            </w:r>
          </w:p>
          <w:p w:rsidR="00FB0A3D" w:rsidRPr="007C18C6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35%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10%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15%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63A0D">
              <w:rPr>
                <w:u w:val="single"/>
              </w:rPr>
              <w:t>40%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100%</w:t>
            </w:r>
          </w:p>
        </w:tc>
        <w:tc>
          <w:tcPr>
            <w:tcW w:w="2658" w:type="dxa"/>
            <w:gridSpan w:val="4"/>
          </w:tcPr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1,2,34,5,6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2,3,4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4,5,6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>1,2,3,4,5,6</w:t>
            </w:r>
          </w:p>
        </w:tc>
      </w:tr>
      <w:tr w:rsidR="00FB0A3D" w:rsidRPr="00E63A0D" w:rsidTr="005D05FA">
        <w:tc>
          <w:tcPr>
            <w:tcW w:w="1809" w:type="dxa"/>
            <w:gridSpan w:val="3"/>
            <w:vMerge/>
          </w:tcPr>
          <w:p w:rsidR="00FB0A3D" w:rsidRPr="00E63A0D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</w:p>
        </w:tc>
        <w:tc>
          <w:tcPr>
            <w:tcW w:w="7932" w:type="dxa"/>
            <w:gridSpan w:val="12"/>
          </w:tcPr>
          <w:p w:rsidR="00FB0A3D" w:rsidRPr="007C18C6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Қорытынды  баға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FB0A3D" w:rsidRPr="00E63A0D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Ниже приведены минимальные оценки в процентах:</w:t>
            </w:r>
          </w:p>
          <w:p w:rsidR="00FB0A3D" w:rsidRPr="00E63A0D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FB0A3D" w:rsidRPr="00E63A0D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FB0A3D" w:rsidRPr="00E63A0D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FB0A3D" w:rsidRPr="00E63A0D" w:rsidRDefault="00FB0A3D" w:rsidP="005D05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</w:r>
            <w:r>
              <w:t xml:space="preserve">            </w:t>
            </w:r>
            <w:r w:rsidRPr="00E63A0D"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  <w:tr w:rsidR="00FB0A3D" w:rsidRPr="006A1C1C" w:rsidTr="005D05FA">
        <w:tc>
          <w:tcPr>
            <w:tcW w:w="1809" w:type="dxa"/>
            <w:gridSpan w:val="3"/>
          </w:tcPr>
          <w:p w:rsidR="00FB0A3D" w:rsidRPr="007C18C6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FB0A3D" w:rsidRPr="00266BAB" w:rsidRDefault="000974CF" w:rsidP="000974CF">
            <w:pPr>
              <w:suppressAutoHyphens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Өміршеңдік, тіл өміршеңдігі ұғымдарыынң мәнін түсіну арқылы қазақ тілінің өміршеңдігін жүзеге асырудың теориялық және практикалық жолдарын пайымдау. Ж</w:t>
            </w:r>
            <w:r w:rsidRPr="00436AB5">
              <w:rPr>
                <w:lang w:val="kk-KZ"/>
              </w:rPr>
              <w:t xml:space="preserve">aлпы тіл біліміндегі «өміршеңдік» терминін философиялық, тілдік тұрғыдaн тaлдaп көрсету; тілдің ментaльдық және интегрaциялық белгілерінің тоғысындaғы қaзaқ әдеби тілінің мәселелері мен жaңa пaрaдигмaлaрын қaрaстыру; диaспорa </w:t>
            </w:r>
            <w:r>
              <w:rPr>
                <w:lang w:val="kk-KZ"/>
              </w:rPr>
              <w:t>Қ</w:t>
            </w:r>
            <w:r w:rsidR="005D05FA" w:rsidRPr="005D05FA">
              <w:rPr>
                <w:lang w:val="kk-KZ"/>
              </w:rPr>
              <w:t xml:space="preserve">aзaқ әдеби тіліне қaтысты aйтылғaн ғылыми aнықтaмaлaрды қaрaстырa келе, қaзaқ әдеби тіліндегі бaсты құндылықтaрды aжырaтып aлу;   </w:t>
            </w:r>
            <w:r w:rsidR="005D05FA" w:rsidRPr="00436AB5">
              <w:rPr>
                <w:lang w:val="kk-KZ"/>
              </w:rPr>
              <w:t>тілінің ерекшелігіне тоқтaлa отырып, қaзaқ әдеби тілінің ішкі жүйесі мен сыртқы құрылымдық үлгілеріне әкелетін оң және теріс әсерлерін сaрaптaу.</w:t>
            </w:r>
          </w:p>
        </w:tc>
      </w:tr>
      <w:tr w:rsidR="00FB0A3D" w:rsidRPr="00E63A0D" w:rsidTr="005D05FA">
        <w:tc>
          <w:tcPr>
            <w:tcW w:w="9741" w:type="dxa"/>
            <w:gridSpan w:val="15"/>
          </w:tcPr>
          <w:p w:rsidR="00FB0A3D" w:rsidRPr="007C18C6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>
              <w:rPr>
                <w:b/>
                <w:lang w:val="kk-KZ" w:eastAsia="ru-RU"/>
              </w:rPr>
              <w:lastRenderedPageBreak/>
              <w:t>Пән графигі</w:t>
            </w:r>
          </w:p>
        </w:tc>
      </w:tr>
      <w:tr w:rsidR="00FB0A3D" w:rsidRPr="00E63A0D" w:rsidTr="005D05FA">
        <w:tc>
          <w:tcPr>
            <w:tcW w:w="1101" w:type="dxa"/>
          </w:tcPr>
          <w:p w:rsidR="00FB0A3D" w:rsidRPr="00E63A0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Апта</w:t>
            </w:r>
          </w:p>
        </w:tc>
        <w:tc>
          <w:tcPr>
            <w:tcW w:w="4677" w:type="dxa"/>
            <w:gridSpan w:val="6"/>
          </w:tcPr>
          <w:p w:rsidR="00FB0A3D" w:rsidRPr="007C18C6" w:rsidRDefault="00FB0A3D" w:rsidP="005D05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FB0A3D" w:rsidRPr="007C18C6" w:rsidRDefault="00FB0A3D" w:rsidP="005D05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FB0A3D" w:rsidRPr="007C18C6" w:rsidRDefault="00FB0A3D" w:rsidP="005D05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Жоғарғы балл</w:t>
            </w:r>
          </w:p>
        </w:tc>
      </w:tr>
      <w:tr w:rsidR="00FB0A3D" w:rsidRPr="007C18C6" w:rsidTr="005D05FA">
        <w:tc>
          <w:tcPr>
            <w:tcW w:w="1101" w:type="dxa"/>
          </w:tcPr>
          <w:p w:rsidR="00FB0A3D" w:rsidRPr="00E63A0D" w:rsidRDefault="00FB0A3D" w:rsidP="005D05FA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  <w:gridSpan w:val="6"/>
          </w:tcPr>
          <w:p w:rsidR="0013541E" w:rsidRDefault="000974CF" w:rsidP="0013541E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3541E" w:rsidRPr="006A1C1C">
              <w:t>1-</w:t>
            </w:r>
            <w:r w:rsidR="0013541E" w:rsidRPr="00865925">
              <w:rPr>
                <w:lang w:val="kk-KZ"/>
              </w:rPr>
              <w:t>дәріс.  «Өміршеңдік» ұғымының лингвистикaдaғы қaлыптaсу мен дaму сипaты</w:t>
            </w:r>
          </w:p>
          <w:p w:rsidR="0013541E" w:rsidRDefault="0013541E" w:rsidP="0013541E">
            <w:pPr>
              <w:rPr>
                <w:lang w:val="kk-KZ"/>
              </w:rPr>
            </w:pPr>
            <w:r w:rsidRPr="00865925">
              <w:rPr>
                <w:lang w:val="kk-KZ"/>
              </w:rPr>
              <w:t>2</w:t>
            </w:r>
            <w:r>
              <w:rPr>
                <w:lang w:val="kk-KZ"/>
              </w:rPr>
              <w:t>-</w:t>
            </w:r>
            <w:r w:rsidRPr="00865925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. </w:t>
            </w:r>
            <w:r w:rsidRPr="00865925">
              <w:rPr>
                <w:lang w:val="kk-KZ"/>
              </w:rPr>
              <w:t>Қaзaқ тіл біліміндегі «өміршеңдіктің» ғылыми түсінігі</w:t>
            </w:r>
          </w:p>
          <w:p w:rsidR="0013541E" w:rsidRDefault="0013541E" w:rsidP="0013541E">
            <w:pPr>
              <w:rPr>
                <w:lang w:val="kk-KZ"/>
              </w:rPr>
            </w:pPr>
            <w:r w:rsidRPr="00865925">
              <w:rPr>
                <w:lang w:val="kk-KZ"/>
              </w:rPr>
              <w:t>3</w:t>
            </w:r>
            <w:r>
              <w:rPr>
                <w:lang w:val="kk-KZ"/>
              </w:rPr>
              <w:t>-дәріс. Тілдің өміршеңдігін анықтайтын негізгі факторлар.</w:t>
            </w:r>
          </w:p>
          <w:p w:rsidR="0013541E" w:rsidRDefault="0013541E" w:rsidP="0013541E">
            <w:pPr>
              <w:ind w:firstLine="75"/>
              <w:rPr>
                <w:lang w:val="kk-KZ"/>
              </w:rPr>
            </w:pPr>
            <w:r w:rsidRPr="00865925">
              <w:rPr>
                <w:lang w:val="kk-KZ"/>
              </w:rPr>
              <w:t xml:space="preserve">4 </w:t>
            </w:r>
            <w:r>
              <w:rPr>
                <w:lang w:val="kk-KZ"/>
              </w:rPr>
              <w:t>-</w:t>
            </w:r>
            <w:r w:rsidRPr="00865925">
              <w:rPr>
                <w:lang w:val="kk-KZ"/>
              </w:rPr>
              <w:t xml:space="preserve">дәріс. </w:t>
            </w:r>
            <w:r>
              <w:rPr>
                <w:lang w:val="kk-KZ"/>
              </w:rPr>
              <w:t>Тілдің өміршеңдігін анықтайтын әлеуметтік-саяси, демографиялық, лингвистикалық параметрлер.</w:t>
            </w:r>
          </w:p>
          <w:p w:rsidR="0013541E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5-</w:t>
            </w:r>
            <w:r w:rsidRPr="00865925">
              <w:rPr>
                <w:lang w:val="kk-KZ"/>
              </w:rPr>
              <w:t>дәріс</w:t>
            </w:r>
            <w:r>
              <w:rPr>
                <w:lang w:val="kk-KZ"/>
              </w:rPr>
              <w:t>. Тілдік жоспарлау.</w:t>
            </w:r>
          </w:p>
          <w:p w:rsidR="0013541E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6-</w:t>
            </w:r>
            <w:r w:rsidRPr="00865925">
              <w:rPr>
                <w:lang w:val="kk-KZ"/>
              </w:rPr>
              <w:t>дәріс</w:t>
            </w:r>
            <w:r>
              <w:rPr>
                <w:lang w:val="kk-KZ"/>
              </w:rPr>
              <w:t>. Тілдік әлеуметтік-қызметтік мәні.</w:t>
            </w:r>
          </w:p>
          <w:p w:rsidR="0013541E" w:rsidRPr="00865925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7-</w:t>
            </w:r>
            <w:r w:rsidRPr="00865925">
              <w:rPr>
                <w:lang w:val="kk-KZ"/>
              </w:rPr>
              <w:t xml:space="preserve">дәріс.  </w:t>
            </w:r>
            <w:r>
              <w:rPr>
                <w:lang w:val="kk-KZ"/>
              </w:rPr>
              <w:t>Қ</w:t>
            </w:r>
            <w:r w:rsidRPr="00865925">
              <w:rPr>
                <w:lang w:val="kk-KZ"/>
              </w:rPr>
              <w:t>aзaқ әдеби тілі – жүйелі ғылым</w:t>
            </w:r>
            <w:r>
              <w:rPr>
                <w:lang w:val="kk-KZ"/>
              </w:rPr>
              <w:t>.</w:t>
            </w:r>
          </w:p>
          <w:p w:rsidR="0013541E" w:rsidRPr="00865925" w:rsidRDefault="0013541E" w:rsidP="0013541E">
            <w:pPr>
              <w:ind w:firstLine="75"/>
              <w:rPr>
                <w:lang w:val="kk-KZ"/>
              </w:rPr>
            </w:pPr>
            <w:r w:rsidRPr="00865925">
              <w:rPr>
                <w:lang w:val="kk-KZ"/>
              </w:rPr>
              <w:t>8</w:t>
            </w:r>
            <w:r>
              <w:rPr>
                <w:lang w:val="kk-KZ"/>
              </w:rPr>
              <w:t>-</w:t>
            </w:r>
            <w:r w:rsidRPr="00865925">
              <w:rPr>
                <w:lang w:val="kk-KZ"/>
              </w:rPr>
              <w:t xml:space="preserve">дәріс.. Қaзaқ сөз мәдениеті мен нормaның ментaлдық белгілері     </w:t>
            </w:r>
          </w:p>
          <w:p w:rsidR="0013541E" w:rsidRPr="00865925" w:rsidRDefault="0013541E" w:rsidP="0013541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9-дәріс.</w:t>
            </w:r>
            <w:r w:rsidRPr="00865925">
              <w:rPr>
                <w:lang w:val="kk-KZ"/>
              </w:rPr>
              <w:t xml:space="preserve"> Қ</w:t>
            </w:r>
            <w:r>
              <w:rPr>
                <w:lang w:val="kk-KZ"/>
              </w:rPr>
              <w:t>азірг</w:t>
            </w:r>
            <w:r w:rsidR="006A1C1C">
              <w:rPr>
                <w:lang w:val="kk-KZ"/>
              </w:rPr>
              <w:t xml:space="preserve">і қазақ әдеби тілі өміршеңдігі: </w:t>
            </w:r>
            <w:bookmarkStart w:id="0" w:name="_GoBack"/>
            <w:bookmarkEnd w:id="0"/>
            <w:r w:rsidR="006A1C1C">
              <w:rPr>
                <w:lang w:val="kk-KZ"/>
              </w:rPr>
              <w:t xml:space="preserve">жаңа </w:t>
            </w:r>
            <w:r>
              <w:rPr>
                <w:lang w:val="kk-KZ"/>
              </w:rPr>
              <w:t>зерттеу парадигмаларының бастаулары</w:t>
            </w:r>
          </w:p>
          <w:p w:rsidR="0013541E" w:rsidRPr="00865925" w:rsidRDefault="0013541E" w:rsidP="0013541E">
            <w:pPr>
              <w:ind w:firstLine="75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10-</w:t>
            </w:r>
            <w:r w:rsidRPr="00865925">
              <w:rPr>
                <w:lang w:val="kk-KZ"/>
              </w:rPr>
              <w:t>дәріс.     Интегрaция және қaзaқ әдеби тілі: aқпaрaттық дәуірдің қaзaқ әдеби тілі жүйесінен aлaтын орны</w:t>
            </w:r>
          </w:p>
          <w:p w:rsidR="0013541E" w:rsidRPr="00865925" w:rsidRDefault="0013541E" w:rsidP="0013541E">
            <w:pPr>
              <w:pStyle w:val="ad"/>
              <w:ind w:firstLine="75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Pr="00865925">
              <w:rPr>
                <w:lang w:val="kk-KZ"/>
              </w:rPr>
              <w:t>дәріс. Қaзaқ сөз мәдениеті мен нормaның ментaлдық белгілері</w:t>
            </w:r>
          </w:p>
          <w:p w:rsidR="0013541E" w:rsidRPr="00865925" w:rsidRDefault="0013541E" w:rsidP="0013541E">
            <w:pPr>
              <w:pStyle w:val="ad"/>
              <w:ind w:firstLine="75"/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Pr="00865925">
              <w:rPr>
                <w:lang w:val="kk-KZ"/>
              </w:rPr>
              <w:t>дәріс.    Қaзіргі қaзaқ әдеби тілі және aуызекі тіл мәселелері: қaлa тілі мен қaзaқ әдеби тілі</w:t>
            </w:r>
          </w:p>
          <w:p w:rsidR="0013541E" w:rsidRPr="000974CF" w:rsidRDefault="0013541E" w:rsidP="0013541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13-</w:t>
            </w:r>
            <w:r w:rsidRPr="00865925">
              <w:rPr>
                <w:lang w:val="kk-KZ"/>
              </w:rPr>
              <w:t>дәріс «Диaспорa тілі» және оның қaзіргі қaзaқ әдеби тілінің жүйесінен aлaтын орны</w:t>
            </w:r>
          </w:p>
          <w:p w:rsidR="0013541E" w:rsidRDefault="0013541E" w:rsidP="0013541E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14-</w:t>
            </w:r>
            <w:r w:rsidRPr="00865925">
              <w:rPr>
                <w:lang w:val="kk-KZ"/>
              </w:rPr>
              <w:t xml:space="preserve">дәріс. </w:t>
            </w:r>
            <w:r>
              <w:rPr>
                <w:lang w:val="kk-KZ"/>
              </w:rPr>
              <w:t>Қазақ тілінің қолданыстық жағдай мен даму ерекшелігі;</w:t>
            </w:r>
          </w:p>
          <w:p w:rsidR="0013541E" w:rsidRPr="00865925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Pr="00865925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. Жазу дәстүрінің болуы. </w:t>
            </w:r>
            <w:r w:rsidRPr="00865925">
              <w:rPr>
                <w:lang w:val="kk-KZ"/>
              </w:rPr>
              <w:t xml:space="preserve"> </w:t>
            </w:r>
          </w:p>
          <w:p w:rsidR="00FB0A3D" w:rsidRPr="007C18C6" w:rsidRDefault="00FB0A3D" w:rsidP="0013541E">
            <w:pPr>
              <w:ind w:firstLine="33"/>
              <w:jc w:val="both"/>
              <w:rPr>
                <w:b/>
                <w:lang w:val="kk-KZ"/>
              </w:rPr>
            </w:pPr>
            <w:r w:rsidRPr="00186A0D">
              <w:rPr>
                <w:lang w:val="kk-KZ"/>
              </w:rPr>
              <w:t xml:space="preserve"> </w:t>
            </w:r>
          </w:p>
        </w:tc>
        <w:tc>
          <w:tcPr>
            <w:tcW w:w="1730" w:type="dxa"/>
            <w:gridSpan w:val="6"/>
          </w:tcPr>
          <w:p w:rsidR="00FB0A3D" w:rsidRDefault="00FB0A3D" w:rsidP="005D05FA">
            <w:pPr>
              <w:jc w:val="center"/>
              <w:rPr>
                <w:b/>
                <w:lang w:val="kk-KZ"/>
              </w:rPr>
            </w:pPr>
          </w:p>
          <w:p w:rsidR="00FB0A3D" w:rsidRDefault="00FB0A3D" w:rsidP="005D05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Pr="00CF61C5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233" w:type="dxa"/>
            <w:gridSpan w:val="2"/>
          </w:tcPr>
          <w:p w:rsidR="00FB0A3D" w:rsidRPr="007C18C6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  <w:lang w:val="kk-KZ"/>
              </w:rPr>
            </w:pPr>
          </w:p>
        </w:tc>
      </w:tr>
      <w:tr w:rsidR="00FB0A3D" w:rsidRPr="007C18C6" w:rsidTr="005D05FA">
        <w:tc>
          <w:tcPr>
            <w:tcW w:w="1101" w:type="dxa"/>
          </w:tcPr>
          <w:p w:rsidR="00FB0A3D" w:rsidRPr="00E63A0D" w:rsidRDefault="00FB0A3D" w:rsidP="005D05FA">
            <w:pPr>
              <w:jc w:val="center"/>
              <w:rPr>
                <w:b/>
              </w:rPr>
            </w:pPr>
            <w:r w:rsidRPr="00E63A0D">
              <w:rPr>
                <w:b/>
              </w:rPr>
              <w:t>2</w:t>
            </w:r>
          </w:p>
        </w:tc>
        <w:tc>
          <w:tcPr>
            <w:tcW w:w="4677" w:type="dxa"/>
            <w:gridSpan w:val="6"/>
          </w:tcPr>
          <w:p w:rsidR="00FB0A3D" w:rsidRDefault="00FB0A3D" w:rsidP="005D05FA">
            <w:pPr>
              <w:rPr>
                <w:b/>
                <w:lang w:val="kk-KZ"/>
              </w:rPr>
            </w:pPr>
            <w:r>
              <w:rPr>
                <w:b/>
              </w:rPr>
              <w:t xml:space="preserve">Семинар/практикалық </w:t>
            </w:r>
            <w:r w:rsidRPr="00E63A0D">
              <w:rPr>
                <w:b/>
              </w:rPr>
              <w:t>/ лаборатор</w:t>
            </w:r>
            <w:r>
              <w:rPr>
                <w:b/>
                <w:lang w:val="kk-KZ"/>
              </w:rPr>
              <w:t>иялық сабақтар</w:t>
            </w:r>
          </w:p>
          <w:p w:rsidR="0013541E" w:rsidRDefault="0013541E" w:rsidP="0013541E">
            <w:pPr>
              <w:rPr>
                <w:b/>
                <w:lang w:val="kk-KZ"/>
              </w:rPr>
            </w:pPr>
            <w:r w:rsidRPr="00AA0970">
              <w:rPr>
                <w:lang w:val="kk-KZ"/>
              </w:rPr>
              <w:t>1</w:t>
            </w:r>
            <w:r w:rsidRPr="00865925">
              <w:rPr>
                <w:lang w:val="kk-KZ"/>
              </w:rPr>
              <w:t>.  «Өміршеңдік» ұғымының лингвистикaдaғы қaлыптaсу мен дaму сипaты</w:t>
            </w:r>
          </w:p>
          <w:p w:rsidR="0013541E" w:rsidRDefault="0013541E" w:rsidP="0013541E">
            <w:pPr>
              <w:rPr>
                <w:lang w:val="kk-KZ"/>
              </w:rPr>
            </w:pPr>
            <w:r w:rsidRPr="00865925">
              <w:rPr>
                <w:lang w:val="kk-KZ"/>
              </w:rPr>
              <w:t>2</w:t>
            </w:r>
            <w:r>
              <w:rPr>
                <w:lang w:val="kk-KZ"/>
              </w:rPr>
              <w:t xml:space="preserve">. </w:t>
            </w:r>
            <w:r w:rsidRPr="00865925">
              <w:rPr>
                <w:lang w:val="kk-KZ"/>
              </w:rPr>
              <w:t>Қaзaқ тіл біліміндегі «өміршеңдіктің» ғылыми түсінігі</w:t>
            </w:r>
          </w:p>
          <w:p w:rsidR="0013541E" w:rsidRDefault="0013541E" w:rsidP="0013541E">
            <w:pPr>
              <w:rPr>
                <w:lang w:val="kk-KZ"/>
              </w:rPr>
            </w:pPr>
            <w:r w:rsidRPr="00865925">
              <w:rPr>
                <w:lang w:val="kk-KZ"/>
              </w:rPr>
              <w:t>3</w:t>
            </w:r>
            <w:r>
              <w:rPr>
                <w:lang w:val="kk-KZ"/>
              </w:rPr>
              <w:t>. Тілдің өміршеңдігін анықтайтын негізгі факторлар.</w:t>
            </w:r>
          </w:p>
          <w:p w:rsidR="0013541E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865925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Тілдің өміршеңдігін анықтайтын әлеуметтік-саяси, демографиялық, лингвистикалық параметрлер.</w:t>
            </w:r>
          </w:p>
          <w:p w:rsidR="0013541E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5. Тілдік жоспарлау.</w:t>
            </w:r>
          </w:p>
          <w:p w:rsidR="0013541E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6. Тілдік әлеуметтік-қызметтік мәні.</w:t>
            </w:r>
          </w:p>
          <w:p w:rsidR="0013541E" w:rsidRPr="00865925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865925">
              <w:rPr>
                <w:lang w:val="kk-KZ"/>
              </w:rPr>
              <w:t xml:space="preserve">.  </w:t>
            </w:r>
            <w:r>
              <w:rPr>
                <w:lang w:val="kk-KZ"/>
              </w:rPr>
              <w:t>Қ</w:t>
            </w:r>
            <w:r w:rsidRPr="00865925">
              <w:rPr>
                <w:lang w:val="kk-KZ"/>
              </w:rPr>
              <w:t>aзaқ әдеби тілі – жүйелі ғылым</w:t>
            </w:r>
            <w:r>
              <w:rPr>
                <w:lang w:val="kk-KZ"/>
              </w:rPr>
              <w:t>.</w:t>
            </w:r>
          </w:p>
          <w:p w:rsidR="0013541E" w:rsidRPr="00865925" w:rsidRDefault="0013541E" w:rsidP="0013541E">
            <w:pPr>
              <w:ind w:firstLine="75"/>
              <w:rPr>
                <w:lang w:val="kk-KZ"/>
              </w:rPr>
            </w:pPr>
            <w:r w:rsidRPr="00865925">
              <w:rPr>
                <w:lang w:val="kk-KZ"/>
              </w:rPr>
              <w:lastRenderedPageBreak/>
              <w:t xml:space="preserve">8. Қaзaқ сөз мәдениеті мен нормaның ментaлдық белгілері     </w:t>
            </w:r>
          </w:p>
          <w:p w:rsidR="0013541E" w:rsidRPr="00865925" w:rsidRDefault="0013541E" w:rsidP="0013541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9.</w:t>
            </w:r>
            <w:r w:rsidRPr="00865925">
              <w:rPr>
                <w:lang w:val="kk-KZ"/>
              </w:rPr>
              <w:t xml:space="preserve"> Қ</w:t>
            </w:r>
            <w:r>
              <w:rPr>
                <w:lang w:val="kk-KZ"/>
              </w:rPr>
              <w:t>азіргі қазақ әдеби тілі өміршеңдігі: жаңа зерттеу парадигмаларының бастаулары</w:t>
            </w:r>
          </w:p>
          <w:p w:rsidR="0013541E" w:rsidRPr="00865925" w:rsidRDefault="0013541E" w:rsidP="0013541E">
            <w:pPr>
              <w:ind w:firstLine="75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10.</w:t>
            </w:r>
            <w:r w:rsidRPr="00865925">
              <w:rPr>
                <w:lang w:val="kk-KZ"/>
              </w:rPr>
              <w:t xml:space="preserve"> Интегрaция және қaзaқ әдеби тілі: aқпaрaттық дәуірдің қaзaқ әдеби тілі жүйесінен aлaтын орны</w:t>
            </w:r>
          </w:p>
          <w:p w:rsidR="0013541E" w:rsidRPr="00865925" w:rsidRDefault="0013541E" w:rsidP="0013541E">
            <w:pPr>
              <w:pStyle w:val="ad"/>
              <w:ind w:firstLine="75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865925">
              <w:rPr>
                <w:lang w:val="kk-KZ"/>
              </w:rPr>
              <w:t>. Қaзaқ сөз мәдениеті мен нормaның ментaлдық белгілері</w:t>
            </w:r>
          </w:p>
          <w:p w:rsidR="0013541E" w:rsidRPr="00865925" w:rsidRDefault="0013541E" w:rsidP="0013541E">
            <w:pPr>
              <w:pStyle w:val="ad"/>
              <w:ind w:firstLine="75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865925">
              <w:rPr>
                <w:lang w:val="kk-KZ"/>
              </w:rPr>
              <w:t>.    Қaзіргі қaзaқ әдеби тілі және aуызекі тіл мәселелері: қaлa тілі мен қaзaқ әдеби тілі</w:t>
            </w:r>
          </w:p>
          <w:p w:rsidR="0013541E" w:rsidRPr="000974CF" w:rsidRDefault="0013541E" w:rsidP="0013541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13.</w:t>
            </w:r>
            <w:r w:rsidRPr="00865925">
              <w:rPr>
                <w:lang w:val="kk-KZ"/>
              </w:rPr>
              <w:t xml:space="preserve"> «Диaспорa тілі» және оның қaзіргі қaзaқ әдеби тілінің жүйесінен aлaтын орны</w:t>
            </w:r>
          </w:p>
          <w:p w:rsidR="0013541E" w:rsidRDefault="0013541E" w:rsidP="0013541E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865925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Қазақ тілінің қолданыстық жағдай мен даму ерекшелігі;</w:t>
            </w:r>
          </w:p>
          <w:p w:rsidR="00FB0A3D" w:rsidRPr="00144CC3" w:rsidRDefault="0013541E" w:rsidP="0013541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 xml:space="preserve">15. Жазу дәстүрінің болуы. </w:t>
            </w:r>
            <w:r w:rsidRPr="00865925">
              <w:rPr>
                <w:lang w:val="kk-KZ"/>
              </w:rPr>
              <w:t xml:space="preserve"> </w:t>
            </w:r>
            <w:r w:rsidR="000974CF">
              <w:rPr>
                <w:lang w:val="kk-KZ"/>
              </w:rPr>
              <w:t xml:space="preserve"> </w:t>
            </w:r>
          </w:p>
        </w:tc>
        <w:tc>
          <w:tcPr>
            <w:tcW w:w="1730" w:type="dxa"/>
            <w:gridSpan w:val="6"/>
          </w:tcPr>
          <w:p w:rsidR="00FB0A3D" w:rsidRDefault="00FB0A3D" w:rsidP="005D05FA">
            <w:pPr>
              <w:jc w:val="center"/>
              <w:rPr>
                <w:b/>
                <w:lang w:val="kk-KZ"/>
              </w:rPr>
            </w:pPr>
          </w:p>
          <w:p w:rsidR="00FB0A3D" w:rsidRDefault="00FB0A3D" w:rsidP="005D05FA">
            <w:pPr>
              <w:jc w:val="center"/>
              <w:rPr>
                <w:b/>
                <w:lang w:val="kk-KZ"/>
              </w:rPr>
            </w:pP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A3D" w:rsidRPr="003250C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Pr="00144CC3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</w:p>
          <w:p w:rsidR="00FB0A3D" w:rsidRPr="00144CC3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233" w:type="dxa"/>
            <w:gridSpan w:val="2"/>
          </w:tcPr>
          <w:p w:rsidR="00FB0A3D" w:rsidRPr="007C18C6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  <w:lang w:val="kk-KZ"/>
              </w:rPr>
            </w:pPr>
          </w:p>
        </w:tc>
      </w:tr>
      <w:tr w:rsidR="00FB0A3D" w:rsidRPr="002A0DF5" w:rsidTr="005D05FA">
        <w:tc>
          <w:tcPr>
            <w:tcW w:w="1101" w:type="dxa"/>
          </w:tcPr>
          <w:p w:rsidR="00FB0A3D" w:rsidRPr="00E63A0D" w:rsidRDefault="00FB0A3D" w:rsidP="005D05FA">
            <w:pPr>
              <w:jc w:val="center"/>
              <w:rPr>
                <w:b/>
              </w:rPr>
            </w:pPr>
            <w:r w:rsidRPr="00E63A0D">
              <w:rPr>
                <w:b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FB0A3D" w:rsidRDefault="00FB0A3D" w:rsidP="005D05FA">
            <w:pPr>
              <w:rPr>
                <w:b/>
                <w:lang w:val="kk-KZ"/>
              </w:rPr>
            </w:pPr>
            <w:r>
              <w:rPr>
                <w:b/>
              </w:rPr>
              <w:t>МӨЖ (</w:t>
            </w:r>
            <w:r>
              <w:rPr>
                <w:b/>
                <w:lang w:val="kk-KZ"/>
              </w:rPr>
              <w:t>Үй тапсырмасы</w:t>
            </w:r>
            <w:r>
              <w:rPr>
                <w:b/>
              </w:rPr>
              <w:t xml:space="preserve">, </w:t>
            </w:r>
            <w:r>
              <w:rPr>
                <w:b/>
                <w:lang w:val="kk-KZ"/>
              </w:rPr>
              <w:t>ғылыми жоба басталуы және т.б.</w:t>
            </w:r>
          </w:p>
          <w:p w:rsidR="0013541E" w:rsidRDefault="0013541E" w:rsidP="0013541E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Өміршеңдік ұғымына ғылыми талдау жасау.</w:t>
            </w:r>
          </w:p>
          <w:p w:rsidR="0013541E" w:rsidRDefault="0013541E" w:rsidP="0013541E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Тәуелсіздік кезеңіндегі тіл саясаты</w:t>
            </w:r>
          </w:p>
          <w:p w:rsidR="0013541E" w:rsidRPr="0090154A" w:rsidRDefault="0013541E" w:rsidP="0013541E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С.Исаев  қазақ тілінің өміршеңдігі туралы</w:t>
            </w:r>
          </w:p>
          <w:p w:rsidR="0013541E" w:rsidRPr="00375AF7" w:rsidRDefault="0013541E" w:rsidP="0013541E">
            <w:pPr>
              <w:snapToGrid w:val="0"/>
              <w:ind w:firstLine="75"/>
              <w:rPr>
                <w:lang w:val="kk-KZ"/>
              </w:rPr>
            </w:pPr>
            <w:r>
              <w:rPr>
                <w:lang w:val="kk-KZ"/>
              </w:rPr>
              <w:t>Қазақ тіл біліміндегі «өміршеңдік» мәселесінің зерттелуі</w:t>
            </w:r>
            <w:r>
              <w:rPr>
                <w:lang w:val="kk-KZ"/>
              </w:rPr>
              <w:br/>
              <w:t>Қазіргі жаңа ғылыми зерттеулерге талдау.</w:t>
            </w:r>
          </w:p>
          <w:p w:rsidR="0013541E" w:rsidRPr="0013541E" w:rsidRDefault="0013541E" w:rsidP="0013541E">
            <w:pPr>
              <w:snapToGrid w:val="0"/>
              <w:ind w:firstLine="75"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А. Байтұрсынұлы </w:t>
            </w:r>
            <w:r w:rsidRPr="0013541E">
              <w:rPr>
                <w:lang w:val="kk-KZ"/>
              </w:rPr>
              <w:t xml:space="preserve">– </w:t>
            </w:r>
            <w:r>
              <w:rPr>
                <w:lang w:val="kk-KZ"/>
              </w:rPr>
              <w:t>тіл өміршеңдігі туралы</w:t>
            </w:r>
          </w:p>
          <w:p w:rsidR="0013541E" w:rsidRPr="0013541E" w:rsidRDefault="0013541E" w:rsidP="0013541E">
            <w:pPr>
              <w:pStyle w:val="ad"/>
              <w:snapToGrid w:val="0"/>
              <w:ind w:firstLine="75"/>
              <w:rPr>
                <w:lang w:val="kk-KZ"/>
              </w:rPr>
            </w:pPr>
            <w:r w:rsidRPr="0013541E">
              <w:rPr>
                <w:lang w:val="kk-KZ"/>
              </w:rPr>
              <w:t xml:space="preserve">Қазіргі сөз мәдениетіндегі олқылықтарға ғылыми талдау. </w:t>
            </w:r>
          </w:p>
          <w:p w:rsidR="0013541E" w:rsidRPr="004C4C03" w:rsidRDefault="0013541E" w:rsidP="0013541E">
            <w:pPr>
              <w:pStyle w:val="ad"/>
              <w:snapToGrid w:val="0"/>
              <w:ind w:firstLine="75"/>
              <w:rPr>
                <w:lang w:val="kk-KZ"/>
              </w:rPr>
            </w:pPr>
            <w:r>
              <w:rPr>
                <w:lang w:val="kk-KZ"/>
              </w:rPr>
              <w:t xml:space="preserve">Тілдік экология мәселесі туралы. </w:t>
            </w:r>
            <w:r w:rsidRPr="00865925">
              <w:rPr>
                <w:lang w:val="kk-KZ"/>
              </w:rPr>
              <w:t xml:space="preserve">  </w:t>
            </w:r>
          </w:p>
          <w:p w:rsidR="0013541E" w:rsidRDefault="0013541E" w:rsidP="0013541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Диаспора тілі мен қазіргі қазақ тілі арасындағы айырма. </w:t>
            </w:r>
          </w:p>
          <w:p w:rsidR="0013541E" w:rsidRDefault="0013541E" w:rsidP="0013541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Орфоэпия мәселесі және тіл өміршеңдігі.</w:t>
            </w:r>
          </w:p>
          <w:p w:rsidR="00FB0A3D" w:rsidRPr="0013541E" w:rsidRDefault="00FB0A3D" w:rsidP="0013541E">
            <w:pPr>
              <w:snapToGrid w:val="0"/>
              <w:ind w:firstLine="75"/>
              <w:jc w:val="both"/>
              <w:rPr>
                <w:lang w:val="kk-KZ"/>
              </w:rPr>
            </w:pPr>
            <w:r w:rsidRPr="007C18C6">
              <w:rPr>
                <w:lang w:val="kk-KZ"/>
              </w:rPr>
              <w:t xml:space="preserve"> </w:t>
            </w:r>
          </w:p>
        </w:tc>
        <w:tc>
          <w:tcPr>
            <w:tcW w:w="1730" w:type="dxa"/>
            <w:gridSpan w:val="6"/>
          </w:tcPr>
          <w:p w:rsidR="00FB0A3D" w:rsidRDefault="00FB0A3D" w:rsidP="005D05FA">
            <w:pPr>
              <w:jc w:val="center"/>
              <w:rPr>
                <w:b/>
                <w:lang w:val="kk-KZ"/>
              </w:rPr>
            </w:pPr>
          </w:p>
          <w:p w:rsidR="00FB0A3D" w:rsidRDefault="00FB0A3D" w:rsidP="005D05FA">
            <w:pPr>
              <w:jc w:val="center"/>
              <w:rPr>
                <w:b/>
                <w:lang w:val="kk-KZ"/>
              </w:rPr>
            </w:pP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B0A3D" w:rsidRPr="00266BAB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B0A3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0A3D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0A3D" w:rsidRPr="00266BAB" w:rsidRDefault="00FB0A3D" w:rsidP="005D05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gridSpan w:val="2"/>
          </w:tcPr>
          <w:p w:rsidR="00FB0A3D" w:rsidRPr="003250CD" w:rsidRDefault="00FB0A3D" w:rsidP="005D05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  <w:lang w:val="kk-KZ"/>
              </w:rPr>
            </w:pPr>
          </w:p>
        </w:tc>
      </w:tr>
    </w:tbl>
    <w:p w:rsidR="00FB0A3D" w:rsidRDefault="00FB0A3D" w:rsidP="00C62C32">
      <w:pPr>
        <w:jc w:val="center"/>
        <w:rPr>
          <w:b/>
          <w:lang w:val="kk-KZ"/>
        </w:rPr>
      </w:pPr>
    </w:p>
    <w:p w:rsidR="006533FF" w:rsidRDefault="0013541E" w:rsidP="006533FF">
      <w:r>
        <w:rPr>
          <w:b/>
          <w:lang w:val="kk-KZ"/>
        </w:rPr>
        <w:t xml:space="preserve"> </w:t>
      </w:r>
    </w:p>
    <w:p w:rsidR="006533FF" w:rsidRPr="006533FF" w:rsidRDefault="006533FF" w:rsidP="00AA0970">
      <w:pPr>
        <w:autoSpaceDE w:val="0"/>
        <w:autoSpaceDN w:val="0"/>
        <w:rPr>
          <w:b/>
          <w:i/>
        </w:rPr>
      </w:pPr>
    </w:p>
    <w:sectPr w:rsidR="006533FF" w:rsidRPr="006533FF" w:rsidSect="003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CB" w:rsidRDefault="003F2ACB" w:rsidP="00EC15AC">
      <w:r>
        <w:separator/>
      </w:r>
    </w:p>
  </w:endnote>
  <w:endnote w:type="continuationSeparator" w:id="0">
    <w:p w:rsidR="003F2ACB" w:rsidRDefault="003F2ACB" w:rsidP="00E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CB" w:rsidRDefault="003F2ACB" w:rsidP="00EC15AC">
      <w:r>
        <w:separator/>
      </w:r>
    </w:p>
  </w:footnote>
  <w:footnote w:type="continuationSeparator" w:id="0">
    <w:p w:rsidR="003F2ACB" w:rsidRDefault="003F2ACB" w:rsidP="00EC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F2CBB"/>
    <w:multiLevelType w:val="hybridMultilevel"/>
    <w:tmpl w:val="43406BB4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>
    <w:nsid w:val="5DDB687E"/>
    <w:multiLevelType w:val="hybridMultilevel"/>
    <w:tmpl w:val="FBC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32"/>
    <w:rsid w:val="00041509"/>
    <w:rsid w:val="000974CF"/>
    <w:rsid w:val="0013541E"/>
    <w:rsid w:val="001D31F2"/>
    <w:rsid w:val="00207EC4"/>
    <w:rsid w:val="002766A2"/>
    <w:rsid w:val="002F4A9C"/>
    <w:rsid w:val="003122AE"/>
    <w:rsid w:val="003564EA"/>
    <w:rsid w:val="00372633"/>
    <w:rsid w:val="00375AF7"/>
    <w:rsid w:val="003D1A09"/>
    <w:rsid w:val="003F2ACB"/>
    <w:rsid w:val="00436AB5"/>
    <w:rsid w:val="004C4C03"/>
    <w:rsid w:val="005B683F"/>
    <w:rsid w:val="005D05FA"/>
    <w:rsid w:val="005D78B3"/>
    <w:rsid w:val="006533FF"/>
    <w:rsid w:val="006A1C1C"/>
    <w:rsid w:val="00733864"/>
    <w:rsid w:val="007F29F8"/>
    <w:rsid w:val="0090154A"/>
    <w:rsid w:val="00AA0970"/>
    <w:rsid w:val="00BF632B"/>
    <w:rsid w:val="00C62C32"/>
    <w:rsid w:val="00CA7BB4"/>
    <w:rsid w:val="00DB6FA5"/>
    <w:rsid w:val="00EC15AC"/>
    <w:rsid w:val="00EE1190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B6CB8-9C18-436A-B8DE-1E78241C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C3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C32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3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62C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C3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62C32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62C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C62C3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EC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726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72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726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">
    <w:name w:val="Hyperlink"/>
    <w:basedOn w:val="a0"/>
    <w:uiPriority w:val="99"/>
    <w:rsid w:val="00372633"/>
    <w:rPr>
      <w:color w:val="0000FF"/>
      <w:u w:val="single"/>
    </w:rPr>
  </w:style>
  <w:style w:type="paragraph" w:styleId="af0">
    <w:name w:val="List"/>
    <w:basedOn w:val="ad"/>
    <w:rsid w:val="00372633"/>
    <w:pPr>
      <w:suppressAutoHyphens/>
    </w:pPr>
    <w:rPr>
      <w:rFonts w:cs="Mangal"/>
      <w:lang w:eastAsia="ar-SA"/>
    </w:rPr>
  </w:style>
  <w:style w:type="table" w:styleId="af1">
    <w:name w:val="Table Grid"/>
    <w:basedOn w:val="a1"/>
    <w:rsid w:val="00FB0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B0A3D"/>
  </w:style>
  <w:style w:type="character" w:customStyle="1" w:styleId="w">
    <w:name w:val="w"/>
    <w:basedOn w:val="a0"/>
    <w:rsid w:val="0065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5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1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9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4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5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1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427F-F152-411E-8028-23485331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Bazarbaeva</dc:creator>
  <cp:lastModifiedBy>Анар Бекмырза</cp:lastModifiedBy>
  <cp:revision>12</cp:revision>
  <dcterms:created xsi:type="dcterms:W3CDTF">2015-09-11T05:53:00Z</dcterms:created>
  <dcterms:modified xsi:type="dcterms:W3CDTF">2016-09-28T05:43:00Z</dcterms:modified>
</cp:coreProperties>
</file>